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SD</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Specialized Disclosure Report</w:t>
      </w:r>
    </w:p>
    <w:p>
      <w:pPr>
        <w:pStyle w:val="TextBody"/>
        <w:bidi w:val="0"/>
        <w:spacing w:before="0" w:after="0"/>
        <w:jc w:val="center"/>
        <w:rPr/>
      </w:pPr>
      <w:r>
        <w:rPr/>
      </w:r>
    </w:p>
    <w:p>
      <w:pPr>
        <w:pStyle w:val="TextBody"/>
        <w:bidi w:val="0"/>
        <w:spacing w:lineRule="auto" w:line="288" w:before="0" w:after="200"/>
        <w:jc w:val="center"/>
        <w:rPr>
          <w:rFonts w:ascii="Times New Roman;serif" w:hAnsi="Times New Roman;serif"/>
          <w:b/>
          <w:color w:val="000000"/>
          <w:sz w:val="36"/>
        </w:rPr>
      </w:pPr>
      <w:r>
        <w:rPr>
          <w:rFonts w:ascii="Times New Roman;serif" w:hAnsi="Times New Roman;serif"/>
          <w:b/>
          <w:color w:val="000000"/>
          <w:sz w:val="36"/>
        </w:rPr>
        <w:t>PIXELWORKS, INC.</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7326" w:type="dxa"/>
        <w:jc w:val="center"/>
        <w:tblInd w:w="0" w:type="dxa"/>
        <w:tblLayout w:type="fixed"/>
        <w:tblCellMar>
          <w:top w:w="28" w:type="dxa"/>
          <w:left w:w="28" w:type="dxa"/>
          <w:bottom w:w="28" w:type="dxa"/>
          <w:right w:w="28" w:type="dxa"/>
        </w:tblCellMar>
      </w:tblPr>
      <w:tblGrid>
        <w:gridCol w:w="943"/>
        <w:gridCol w:w="831"/>
        <w:gridCol w:w="835"/>
        <w:gridCol w:w="109"/>
        <w:gridCol w:w="109"/>
        <w:gridCol w:w="109"/>
        <w:gridCol w:w="792"/>
        <w:gridCol w:w="792"/>
        <w:gridCol w:w="800"/>
        <w:gridCol w:w="109"/>
        <w:gridCol w:w="109"/>
        <w:gridCol w:w="109"/>
        <w:gridCol w:w="490"/>
        <w:gridCol w:w="490"/>
        <w:gridCol w:w="699"/>
      </w:tblGrid>
      <w:tr>
        <w:trPr/>
        <w:tc>
          <w:tcPr>
            <w:tcW w:w="9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OREGON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000-30269</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91-1761992</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(State or other jurisdiction of </w:t>
              <w:br/>
              <w:t>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(I.R.S. Employer </w:t>
              <w:br/>
              <w:t>Identification No.)</w:t>
            </w:r>
          </w:p>
        </w:tc>
      </w:tr>
    </w:tbl>
    <w:p>
      <w:pPr>
        <w:pStyle w:val="TextBody"/>
        <w:bidi w:val="0"/>
        <w:spacing w:before="0" w:after="0"/>
        <w:jc w:val="center"/>
        <w:rPr/>
      </w:pPr>
      <w:r>
        <w:rPr/>
      </w:r>
    </w:p>
    <w:tbl>
      <w:tblPr>
        <w:tblW w:w="5935" w:type="dxa"/>
        <w:jc w:val="center"/>
        <w:tblInd w:w="0" w:type="dxa"/>
        <w:tblLayout w:type="fixed"/>
        <w:tblCellMar>
          <w:top w:w="28" w:type="dxa"/>
          <w:left w:w="28" w:type="dxa"/>
          <w:bottom w:w="28" w:type="dxa"/>
          <w:right w:w="28" w:type="dxa"/>
        </w:tblCellMar>
      </w:tblPr>
      <w:tblGrid>
        <w:gridCol w:w="1648"/>
        <w:gridCol w:w="1453"/>
        <w:gridCol w:w="1458"/>
        <w:gridCol w:w="109"/>
        <w:gridCol w:w="109"/>
        <w:gridCol w:w="109"/>
        <w:gridCol w:w="307"/>
        <w:gridCol w:w="307"/>
        <w:gridCol w:w="435"/>
      </w:tblGrid>
      <w:tr>
        <w:trPr/>
        <w:tc>
          <w:tcPr>
            <w:tcW w:w="1648"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16760 SW Upper Boones Ferry Rd. Ste. 101 Portland, 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97224</w:t>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(Zip Code)</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Haley F. Aman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(503) 601-4545</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(Name and telephone number, including area code, of the person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contact in connection with this report.)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Check the appropriate box to indicate the rule pursuant to which this form is being filed, and provide the period to which the information in this form applies:</w:t>
      </w:r>
    </w:p>
    <w:p>
      <w:pPr>
        <w:pStyle w:val="TextBody"/>
        <w:bidi w:val="0"/>
        <w:spacing w:before="0" w:after="0"/>
        <w:jc w:val="left"/>
        <w:rPr/>
      </w:pPr>
      <w:r>
        <w:rPr/>
      </w:r>
    </w:p>
    <w:p>
      <w:pPr>
        <w:pStyle w:val="TextBody"/>
        <w:bidi w:val="0"/>
        <w:spacing w:lineRule="auto" w:line="288" w:before="0" w:after="200"/>
        <w:jc w:val="left"/>
        <w:rPr/>
      </w:pPr>
      <w:r>
        <w:rPr>
          <w:rFonts w:ascii="Wingdings;sans-serif" w:hAnsi="Wingdings;sans-serif"/>
          <w:b w:val="false"/>
          <w:color w:val="000000"/>
          <w:sz w:val="20"/>
        </w:rPr>
        <w:t>x</w:t>
      </w:r>
      <w:r>
        <w:rPr>
          <w:color w:val="000000"/>
        </w:rPr>
        <w:t>    </w:t>
      </w:r>
      <w:r>
        <w:rPr>
          <w:rFonts w:ascii="Times New Roman;serif" w:hAnsi="Times New Roman;serif"/>
          <w:b/>
          <w:color w:val="000000"/>
          <w:sz w:val="20"/>
        </w:rPr>
        <w:t>Rule 13p-1 under the Securities Exchange Act (17 CFR 240.13p-1) for the reporting period from January 1, 2025 to December 31, 2025.</w:t>
      </w:r>
    </w:p>
    <w:p>
      <w:pPr>
        <w:pStyle w:val="TextBody"/>
        <w:bidi w:val="0"/>
        <w:spacing w:lineRule="auto" w:line="288" w:before="120" w:after="283"/>
        <w:jc w:val="both"/>
        <w:rPr/>
      </w:pPr>
      <w:r>
        <w:rPr>
          <w:color w:val="000000"/>
        </w:rPr>
        <w:t>☐    </w:t>
      </w:r>
      <w:r>
        <w:rPr>
          <w:rFonts w:ascii="Times New Roman;serif" w:hAnsi="Times New Roman;serif"/>
          <w:b/>
          <w:color w:val="000000"/>
          <w:sz w:val="20"/>
        </w:rPr>
        <w:t>Rule 13q-1 under the Securities Exchange Act (17 CFR 240.13q-1) for the fiscal year ended __________.</w:t>
      </w:r>
    </w:p>
    <w:p>
      <w:pPr>
        <w:pStyle w:val="TextBody"/>
        <w:bidi w:val="0"/>
        <w:spacing w:before="0" w:after="2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Section 1 - Conflict Minerals Disclosure</w:t>
      </w:r>
    </w:p>
    <w:p>
      <w:pPr>
        <w:pStyle w:val="TextBody"/>
        <w:bidi w:val="0"/>
        <w:spacing w:lineRule="auto" w:line="288" w:before="0" w:after="200"/>
        <w:jc w:val="left"/>
        <w:rPr/>
      </w:pPr>
      <w:r>
        <w:rPr>
          <w:rFonts w:ascii="Times New Roman;serif" w:hAnsi="Times New Roman;serif"/>
          <w:b/>
          <w:color w:val="000000"/>
          <w:sz w:val="20"/>
        </w:rPr>
        <w:t>Item 1.01</w:t>
      </w:r>
      <w:r>
        <w:rPr>
          <w:color w:val="000000"/>
        </w:rPr>
        <w:t>    </w:t>
      </w:r>
      <w:r>
        <w:rPr>
          <w:rFonts w:ascii="Times New Roman;serif" w:hAnsi="Times New Roman;serif"/>
          <w:b/>
          <w:color w:val="000000"/>
          <w:sz w:val="20"/>
        </w:rPr>
        <w:t>Conflict Minerals Disclosure and Report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This Form SD is being filed pursuant to Rule 13p-1 under the Securities Exchange Act of 1934 (the “Rule”) and is for the reporting period from January 1, 2025 to December 31, 2025. Terms not otherwise defined herein shall have the meanings ascribed to them under Form SD, the Rule and Release No. 34-67716.</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Rule requires disclosure of certain information when a company manufactures or contracts to manufacture products and the minerals specified in the Rule are necessary to the functionality or production of a product manufactured by the company. The specified minerals are columbite-tantalite (coltan), cassiterite, gold, wolframite, or their derivatives, which are limited to tantalum, tin and tungsten (collectively, the “Conflict Minerals”). A company subject to the Rule must conduct a good faith reasonable country of origin inquiry reasonably designed to determine whether any of its conflict minerals originate in the “Covered Countries“ or are from recycled or scrap sources. “Covered Countries” for purposes of the Rule include the Democratic Republic of the Congo or an adjoining country, including the Republic of the Congo, the Central African Republic, South Sudan, Uganda, Rwanda, Burundi, Tanzania, Zambia and Angola.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Pixelworks, Inc. (the "Company") has determined that during the reporting period, Conflict Minerals were necessary to the functionality or production of certain products that the Company manufactures or contracts to manufacture. Specifically, the Company believes that the vast majority of the Company's products sold during the reporting period contain at least one or more Conflict Minerals.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reporting period, the Company operating as a fabless semiconductor company, and thus was not involved in the actual mining or direct purchase of Conflict Minerals. As there are several third parties in the Company’s supply chain, the Company has relied on its suppliers to provide information regarding the origin of Conflict Minerals used to manufacture products supplied to the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adopted a Conflict Minerals Policy stating its commitment to avoid the use of Conflict Minerals and its support of an industry-wide approach to responsible sourcing, including the Electronic Industry Citizenship Coalition and Global e-Sustainability (“EICC/GeSI”) conflict-free sourcing initiative, now succeeded by the Responsible Minerals Initiative (“RMI”), and Conflict Free Smelter (“CFS”) program, now known as the Responsible Minerals Assurance Process (“RMAP”). The Company’s policy also states its expectation that its suppliers have policies to reasonably assure that Conflict Minerals in the products they supply to the Company are conflict free and to establish their own due diligence program to promote conflict-free supply chains. The Company encourages its suppliers to ensure that all Conflict Minerals used to manufacture products they supply to the Company originate from smelters validated under the RMAP program.</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conducted a good faith reasonable country of origin inquiry regarding the Conflict Minerals contained in its products, which inquiry was designed to determine (a) whether any of the Conflict Minerals contained in its products originated in the Covered Countries and (b) whether any of the Conflict Minerals are from recycled or scrap sources.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country of origin inquiry included: (a) conducting inquiries of its direct suppliers of materials containing Conflict Minerals, using the Conflict Minerals Reporting Template (CMRT) developed by RMI to identify the smelters and refiners of Conflict Minerals who provide such Conflict Minerals to the Company’s suppliers, (b) comparing the smelters and refiners identified as a result of this inquiry against the list of smelter facilities identified as conformant by programs such as the RMAP administered by RMI, (c) obtaining written declarations from its suppliers as to whether the Conflict Mineral in the Company’s products originated in a Covered Country or was from recycled or scrap sources, or that the supplier has no reason to believe that the Conflict Mineral originated in a Covered Country, and (d) obtaining written representations from each supplier of the product as to whether (i) the supplier conducted its own reasonable country of origin inquiry within the meaning of the Conflict Mineral Rules with respect to the Conflict Mineral included in the product manufactured for the Company; and (ii) based on that inquiry, the supplier determined that the Conflict Mineral did not originate in a Covered Country or was from recycled or scrap sources, or that the supplier has no reason to believe that the Conflict Mineral originated in a Covered Country.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a result of the good faith reasonable country of origin inquiry, the Company does not currently have sufficient information, and therefore has been unable, to determine the origin of all Conflict Minerals contained within its products because certain smelters or refiner facilities (1) were not listed as conformant under the RMAP or had not received a conformant designation from an independent third party audit program and/or (2) did not respond to its suppliers requests for country of origin information. Based on its reasonable country of origin inquiry, the Company has no reason to believe that the Conflict Minerals contained within its products originated in a Covered Country.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This Form SD is publicly available on our website at www.pixelworks.com (on the “Investor Relations” page, under the “SEC Filings” heading). The content of any referenced website is not incorporated by reference into and should not be considered part of this Form SD.</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1.02 Exhibit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Section 2 - Resource Extraction Issuer Disclosure</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 xml:space="preserve">Item 2.01 Resource Extraction Issuer Disclosure and Report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Section 3 - Exhibits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3.01 Exhibits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pPr>
      <w:r>
        <w:rPr/>
      </w:r>
    </w:p>
    <w:tbl>
      <w:tblPr>
        <w:tblW w:w="3975" w:type="dxa"/>
        <w:jc w:val="left"/>
        <w:tblInd w:w="0" w:type="dxa"/>
        <w:tblLayout w:type="fixed"/>
        <w:tblCellMar>
          <w:top w:w="28" w:type="dxa"/>
          <w:left w:w="28" w:type="dxa"/>
          <w:bottom w:w="28" w:type="dxa"/>
          <w:right w:w="28" w:type="dxa"/>
        </w:tblCellMar>
      </w:tblPr>
      <w:tblGrid>
        <w:gridCol w:w="238"/>
        <w:gridCol w:w="210"/>
        <w:gridCol w:w="212"/>
        <w:gridCol w:w="414"/>
        <w:gridCol w:w="414"/>
        <w:gridCol w:w="417"/>
        <w:gridCol w:w="606"/>
        <w:gridCol w:w="606"/>
        <w:gridCol w:w="858"/>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PIXELWORKS,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15, 2026</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Haley F. Aman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Haley F. Aman</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1107</Words>
  <Characters>6148</Characters>
  <CharactersWithSpaces>7229</CharactersWithSpaces>
  <Paragraphs>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