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Aman Haley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16760 SW UPPER BOONES FERRY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PIXELWORKS, INC</w:t>
              </w:r>
            </w:hyperlink>
            <w:r>
              <w:rPr/>
              <w:t xml:space="preserve"> [ </w:t>
            </w:r>
            <w:r>
              <w:rPr>
                <w:rFonts w:ascii="Times;serif" w:hAnsi="Times;serif"/>
                <w:color w:val="0000FF"/>
                <w:sz w:val="24"/>
                <w:shd w:fill="FFFFFF" w:val="clear"/>
              </w:rPr>
              <w:t>PXLW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102,291</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registrant's common stock. The restricted stock units will vest in equal installments quarterly over six quarters, beginning on August 15, 2026 and ending on November 15,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Haley F Aman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1701" TargetMode="External"/><Relationship Id="rId5" Type="http://schemas.openxmlformats.org/officeDocument/2006/relationships/hyperlink" Target="http://www.sec.gov/cgi-bin/browse-edgar?action=getcompany&amp;CIK=00010401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3279</Characters>
  <CharactersWithSpaces>3818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