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DEBONIS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16760 SW UPPER BOONES FERRY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PIXELWORKS, INC</w:t>
              </w:r>
            </w:hyperlink>
            <w:r>
              <w:rPr/>
              <w:t xml:space="preserve"> [ </w:t>
            </w:r>
            <w:r>
              <w:rPr>
                <w:rFonts w:ascii="Times;serif" w:hAnsi="Times;serif"/>
                <w:color w:val="0000FF"/>
                <w:sz w:val="24"/>
                <w:shd w:fill="FFFFFF" w:val="clear"/>
              </w:rPr>
              <w:t>PXLW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264,309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registrant's common stock. The restricted stock units will vest in equal installments quarterly over six quarters, beginning on August 15, 2026 and ending on November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Todd DeBonis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8818" TargetMode="External"/><Relationship Id="rId5" Type="http://schemas.openxmlformats.org/officeDocument/2006/relationships/hyperlink" Target="http://www.sec.gov/cgi-bin/browse-edgar?action=getcompany&amp;CIK=00010401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3275</Characters>
  <CharactersWithSpaces>3812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